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0F919" w14:textId="77777777" w:rsidR="00127BC9" w:rsidRDefault="00127BC9">
      <w:r>
        <w:rPr>
          <w:rFonts w:ascii="Verdana" w:hAnsi="Verdana"/>
          <w:noProof/>
          <w:sz w:val="22"/>
          <w:szCs w:val="22"/>
        </w:rPr>
        <w:drawing>
          <wp:anchor distT="36576" distB="36576" distL="36576" distR="36576" simplePos="0" relativeHeight="251659264" behindDoc="0" locked="0" layoutInCell="1" allowOverlap="1" wp14:anchorId="30E99DB0" wp14:editId="0D5338BD">
            <wp:simplePos x="0" y="0"/>
            <wp:positionH relativeFrom="column">
              <wp:posOffset>-685800</wp:posOffset>
            </wp:positionH>
            <wp:positionV relativeFrom="paragraph">
              <wp:posOffset>-414655</wp:posOffset>
            </wp:positionV>
            <wp:extent cx="3314700" cy="809625"/>
            <wp:effectExtent l="19050" t="0" r="0" b="0"/>
            <wp:wrapNone/>
            <wp:docPr id="3" name="Picture 3" descr="canwheel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wheel_logo_tagline"/>
                    <pic:cNvPicPr>
                      <a:picLocks noChangeAspect="1" noChangeArrowheads="1"/>
                    </pic:cNvPicPr>
                  </pic:nvPicPr>
                  <pic:blipFill>
                    <a:blip r:embed="rId5" cstate="print"/>
                    <a:srcRect/>
                    <a:stretch>
                      <a:fillRect/>
                    </a:stretch>
                  </pic:blipFill>
                  <pic:spPr bwMode="auto">
                    <a:xfrm>
                      <a:off x="0" y="0"/>
                      <a:ext cx="3314700" cy="809625"/>
                    </a:xfrm>
                    <a:prstGeom prst="rect">
                      <a:avLst/>
                    </a:prstGeom>
                    <a:noFill/>
                    <a:ln w="9525" algn="ctr">
                      <a:noFill/>
                      <a:miter lim="800000"/>
                      <a:headEnd/>
                      <a:tailEnd/>
                    </a:ln>
                    <a:effectLst/>
                  </pic:spPr>
                </pic:pic>
              </a:graphicData>
            </a:graphic>
          </wp:anchor>
        </w:drawing>
      </w:r>
    </w:p>
    <w:p w14:paraId="24D124C7" w14:textId="77777777" w:rsidR="00127BC9" w:rsidRPr="00127BC9" w:rsidRDefault="00127BC9" w:rsidP="00127BC9"/>
    <w:p w14:paraId="067CA0F7" w14:textId="77777777" w:rsidR="00127BC9" w:rsidRPr="00127BC9" w:rsidRDefault="00127BC9" w:rsidP="00127BC9"/>
    <w:p w14:paraId="7637DFD2" w14:textId="77777777" w:rsidR="00127BC9" w:rsidRPr="00127BC9" w:rsidRDefault="00127BC9" w:rsidP="00127BC9"/>
    <w:p w14:paraId="58926F0D" w14:textId="77777777" w:rsidR="001F6439" w:rsidRDefault="00127BC9" w:rsidP="00127BC9">
      <w:pPr>
        <w:tabs>
          <w:tab w:val="left" w:pos="3523"/>
        </w:tabs>
        <w:jc w:val="center"/>
        <w:rPr>
          <w:rFonts w:ascii="Times" w:hAnsi="Times"/>
          <w:b/>
        </w:rPr>
      </w:pPr>
      <w:r>
        <w:rPr>
          <w:rFonts w:ascii="Times" w:hAnsi="Times"/>
          <w:b/>
        </w:rPr>
        <w:t xml:space="preserve">FAST FACTS </w:t>
      </w:r>
    </w:p>
    <w:p w14:paraId="04BB37FE" w14:textId="776CFA62" w:rsidR="004D6470" w:rsidRPr="00A24F59" w:rsidRDefault="00710067" w:rsidP="00127BC9">
      <w:pPr>
        <w:tabs>
          <w:tab w:val="left" w:pos="3523"/>
        </w:tabs>
        <w:jc w:val="center"/>
        <w:rPr>
          <w:rFonts w:ascii="Times" w:hAnsi="Times"/>
          <w:b/>
        </w:rPr>
      </w:pPr>
      <w:r w:rsidRPr="00A24F59">
        <w:rPr>
          <w:rFonts w:ascii="Times" w:hAnsi="Times"/>
          <w:b/>
        </w:rPr>
        <w:t>Assistive Technology Out</w:t>
      </w:r>
      <w:r w:rsidR="004C6FF8" w:rsidRPr="00A24F59">
        <w:rPr>
          <w:rFonts w:ascii="Times" w:hAnsi="Times"/>
          <w:b/>
        </w:rPr>
        <w:t>come Profile for Mobility (ATOP\</w:t>
      </w:r>
      <w:r w:rsidRPr="00A24F59">
        <w:rPr>
          <w:rFonts w:ascii="Times" w:hAnsi="Times"/>
          <w:b/>
        </w:rPr>
        <w:t>M)</w:t>
      </w:r>
    </w:p>
    <w:p w14:paraId="1D5FBED4" w14:textId="77777777" w:rsidR="004D6470" w:rsidRPr="004D6470" w:rsidRDefault="004D6470" w:rsidP="00127BC9">
      <w:pPr>
        <w:tabs>
          <w:tab w:val="left" w:pos="3523"/>
        </w:tabs>
        <w:jc w:val="center"/>
        <w:rPr>
          <w:rFonts w:ascii="Times" w:hAnsi="Times"/>
          <w:b/>
          <w:i/>
        </w:rPr>
      </w:pPr>
    </w:p>
    <w:p w14:paraId="7D287D4A" w14:textId="77777777" w:rsidR="00127BC9" w:rsidRDefault="00127BC9" w:rsidP="00127BC9">
      <w:pPr>
        <w:tabs>
          <w:tab w:val="left" w:pos="3523"/>
        </w:tabs>
        <w:jc w:val="center"/>
        <w:rPr>
          <w:rFonts w:ascii="Times" w:hAnsi="Times"/>
          <w:b/>
        </w:rPr>
      </w:pPr>
    </w:p>
    <w:p w14:paraId="155B7B84" w14:textId="1E79058D" w:rsidR="004D6470" w:rsidRDefault="004D6470" w:rsidP="004D6470">
      <w:pPr>
        <w:tabs>
          <w:tab w:val="left" w:pos="3523"/>
        </w:tabs>
        <w:rPr>
          <w:rFonts w:ascii="Times" w:hAnsi="Times"/>
          <w:i/>
        </w:rPr>
      </w:pPr>
      <w:r>
        <w:rPr>
          <w:rFonts w:ascii="Times" w:hAnsi="Times"/>
          <w:b/>
        </w:rPr>
        <w:t>Description</w:t>
      </w:r>
      <w:r w:rsidR="00F01730">
        <w:rPr>
          <w:rFonts w:ascii="Times" w:hAnsi="Times"/>
          <w:b/>
        </w:rPr>
        <w:t>/Use</w:t>
      </w:r>
      <w:r>
        <w:rPr>
          <w:rFonts w:ascii="Times" w:hAnsi="Times"/>
          <w:b/>
        </w:rPr>
        <w:t>:</w:t>
      </w:r>
      <w:r w:rsidR="00F01730">
        <w:rPr>
          <w:rFonts w:ascii="Times" w:hAnsi="Times"/>
          <w:b/>
        </w:rPr>
        <w:t xml:space="preserve"> </w:t>
      </w:r>
    </w:p>
    <w:p w14:paraId="23D6B656" w14:textId="77777777" w:rsidR="00A24F59" w:rsidRDefault="00A24F59" w:rsidP="004D6470">
      <w:pPr>
        <w:tabs>
          <w:tab w:val="left" w:pos="3523"/>
        </w:tabs>
        <w:rPr>
          <w:rFonts w:ascii="Times" w:hAnsi="Times"/>
        </w:rPr>
      </w:pPr>
    </w:p>
    <w:p w14:paraId="5FE4E08E" w14:textId="4553F818" w:rsidR="00F01730" w:rsidRDefault="001E7610" w:rsidP="00A16C06">
      <w:pPr>
        <w:tabs>
          <w:tab w:val="left" w:pos="3523"/>
        </w:tabs>
        <w:jc w:val="both"/>
        <w:rPr>
          <w:rFonts w:ascii="Times" w:hAnsi="Times"/>
        </w:rPr>
      </w:pPr>
      <w:r>
        <w:rPr>
          <w:rFonts w:ascii="Times" w:hAnsi="Times"/>
        </w:rPr>
        <w:t>Self-report measure of</w:t>
      </w:r>
      <w:r w:rsidR="00710067">
        <w:rPr>
          <w:rFonts w:ascii="Times" w:hAnsi="Times"/>
        </w:rPr>
        <w:t xml:space="preserve"> the impact of mobility devices - such as prosthesis, cane, walker, scooter, manual wheelchair, power wheelchair - on the level of activity and participation of the user</w:t>
      </w:r>
      <w:r w:rsidR="00F617EA">
        <w:rPr>
          <w:rFonts w:ascii="Times" w:hAnsi="Times"/>
        </w:rPr>
        <w:t xml:space="preserve"> as defined by the International Classification of Functioning, Disability and Health</w:t>
      </w:r>
      <w:r w:rsidR="00710067">
        <w:rPr>
          <w:rFonts w:ascii="Times" w:hAnsi="Times"/>
        </w:rPr>
        <w:t>.</w:t>
      </w:r>
      <w:r w:rsidR="00407F48">
        <w:rPr>
          <w:rFonts w:ascii="Times" w:hAnsi="Times"/>
        </w:rPr>
        <w:t xml:space="preserve"> </w:t>
      </w:r>
      <w:r>
        <w:rPr>
          <w:rFonts w:ascii="Times" w:hAnsi="Times"/>
        </w:rPr>
        <w:t xml:space="preserve">The </w:t>
      </w:r>
      <w:r w:rsidR="00F617EA">
        <w:rPr>
          <w:rFonts w:ascii="Times" w:hAnsi="Times"/>
        </w:rPr>
        <w:t xml:space="preserve">ATOP\M </w:t>
      </w:r>
      <w:r>
        <w:rPr>
          <w:rFonts w:ascii="Times" w:hAnsi="Times"/>
        </w:rPr>
        <w:t xml:space="preserve">item bank, which was developed based on Item Response Theory, comprises 68 items that cover physical performance (PP), instrumental activities of daily living (IADL), discretionary social participation (DSP), and social role participation (SRP). </w:t>
      </w:r>
      <w:r w:rsidR="00407F48">
        <w:rPr>
          <w:rFonts w:ascii="Times" w:hAnsi="Times"/>
        </w:rPr>
        <w:t>The tool allows comparison of the level of activity and participation “with devices” and “without devices”</w:t>
      </w:r>
      <w:r w:rsidR="004C6FF8">
        <w:rPr>
          <w:rFonts w:ascii="Times" w:hAnsi="Times"/>
        </w:rPr>
        <w:t xml:space="preserve"> with differential scores</w:t>
      </w:r>
      <w:r w:rsidR="00407F48">
        <w:rPr>
          <w:rFonts w:ascii="Times" w:hAnsi="Times"/>
        </w:rPr>
        <w:t>.</w:t>
      </w:r>
      <w:r>
        <w:rPr>
          <w:rFonts w:ascii="Times" w:hAnsi="Times"/>
        </w:rPr>
        <w:t xml:space="preserve"> </w:t>
      </w:r>
    </w:p>
    <w:p w14:paraId="6A87A397" w14:textId="77777777" w:rsidR="00F01730" w:rsidRDefault="00F01730" w:rsidP="00A16C06">
      <w:pPr>
        <w:tabs>
          <w:tab w:val="left" w:pos="3523"/>
        </w:tabs>
        <w:jc w:val="both"/>
        <w:rPr>
          <w:rFonts w:ascii="Times" w:hAnsi="Times"/>
        </w:rPr>
      </w:pPr>
    </w:p>
    <w:p w14:paraId="709BC94B" w14:textId="7F1DB8FC" w:rsidR="00F01730" w:rsidRDefault="00F01730" w:rsidP="00A16C06">
      <w:pPr>
        <w:tabs>
          <w:tab w:val="left" w:pos="3523"/>
        </w:tabs>
        <w:jc w:val="both"/>
        <w:rPr>
          <w:rFonts w:ascii="Times" w:hAnsi="Times"/>
          <w:i/>
        </w:rPr>
      </w:pPr>
      <w:r>
        <w:rPr>
          <w:rFonts w:ascii="Times" w:hAnsi="Times"/>
          <w:b/>
        </w:rPr>
        <w:t xml:space="preserve">Population: </w:t>
      </w:r>
    </w:p>
    <w:p w14:paraId="324EA125" w14:textId="77777777" w:rsidR="00A24F59" w:rsidRPr="00F01730" w:rsidRDefault="00A24F59" w:rsidP="00A16C06">
      <w:pPr>
        <w:tabs>
          <w:tab w:val="left" w:pos="3523"/>
        </w:tabs>
        <w:jc w:val="both"/>
        <w:rPr>
          <w:rFonts w:ascii="Times" w:hAnsi="Times"/>
          <w:i/>
        </w:rPr>
      </w:pPr>
    </w:p>
    <w:p w14:paraId="2386429A" w14:textId="3A2A1054" w:rsidR="004D6470" w:rsidRPr="00710067" w:rsidRDefault="004C6FF8" w:rsidP="00A16C06">
      <w:pPr>
        <w:tabs>
          <w:tab w:val="left" w:pos="3523"/>
        </w:tabs>
        <w:jc w:val="both"/>
        <w:rPr>
          <w:rFonts w:ascii="Times" w:hAnsi="Times"/>
        </w:rPr>
      </w:pPr>
      <w:r>
        <w:rPr>
          <w:rFonts w:ascii="Times" w:hAnsi="Times"/>
        </w:rPr>
        <w:t xml:space="preserve">The ATOP\M was </w:t>
      </w:r>
      <w:r w:rsidR="001E7610">
        <w:rPr>
          <w:rFonts w:ascii="Times" w:hAnsi="Times"/>
        </w:rPr>
        <w:t xml:space="preserve">initially </w:t>
      </w:r>
      <w:r>
        <w:rPr>
          <w:rFonts w:ascii="Times" w:hAnsi="Times"/>
        </w:rPr>
        <w:t>developed with 1037 adult users of mobility devices</w:t>
      </w:r>
      <w:r w:rsidR="00710067" w:rsidRPr="00710067">
        <w:rPr>
          <w:rFonts w:ascii="Times" w:hAnsi="Times"/>
        </w:rPr>
        <w:t xml:space="preserve"> </w:t>
      </w:r>
      <w:r>
        <w:rPr>
          <w:rFonts w:ascii="Times" w:hAnsi="Times"/>
        </w:rPr>
        <w:t xml:space="preserve">aged </w:t>
      </w:r>
      <w:r w:rsidR="00710067">
        <w:rPr>
          <w:rFonts w:ascii="Times" w:hAnsi="Times"/>
        </w:rPr>
        <w:t xml:space="preserve">between </w:t>
      </w:r>
      <w:r w:rsidR="00710067" w:rsidRPr="00710067">
        <w:rPr>
          <w:rFonts w:ascii="Times" w:hAnsi="Times"/>
        </w:rPr>
        <w:t>18 to 80 years</w:t>
      </w:r>
      <w:r w:rsidR="00710067">
        <w:rPr>
          <w:rFonts w:ascii="Times" w:hAnsi="Times"/>
        </w:rPr>
        <w:t xml:space="preserve"> of ag</w:t>
      </w:r>
      <w:r>
        <w:rPr>
          <w:rFonts w:ascii="Times" w:hAnsi="Times"/>
        </w:rPr>
        <w:t>e</w:t>
      </w:r>
      <w:r w:rsidR="00710067">
        <w:rPr>
          <w:rFonts w:ascii="Times" w:hAnsi="Times"/>
        </w:rPr>
        <w:t>.</w:t>
      </w:r>
      <w:r w:rsidR="001E7610">
        <w:rPr>
          <w:rFonts w:ascii="Times" w:hAnsi="Times"/>
        </w:rPr>
        <w:t xml:space="preserve"> </w:t>
      </w:r>
      <w:r w:rsidR="00190A84">
        <w:rPr>
          <w:rFonts w:ascii="Times" w:hAnsi="Times"/>
        </w:rPr>
        <w:t>The conditions that produced mobility impairment in this sample were cerebral palsy, multiple sclerosis, spinal cord injury and stroke.</w:t>
      </w:r>
    </w:p>
    <w:p w14:paraId="08AA53D3" w14:textId="77777777" w:rsidR="004D6470" w:rsidRDefault="004D6470" w:rsidP="00A16C06">
      <w:pPr>
        <w:tabs>
          <w:tab w:val="left" w:pos="3523"/>
        </w:tabs>
        <w:jc w:val="both"/>
        <w:rPr>
          <w:rFonts w:ascii="Times" w:hAnsi="Times"/>
          <w:b/>
        </w:rPr>
      </w:pPr>
    </w:p>
    <w:p w14:paraId="095E6A25" w14:textId="0D88DD30" w:rsidR="00127BC9" w:rsidRDefault="00F01730" w:rsidP="00A16C06">
      <w:pPr>
        <w:tabs>
          <w:tab w:val="left" w:pos="3523"/>
        </w:tabs>
        <w:jc w:val="both"/>
        <w:rPr>
          <w:rFonts w:ascii="Times" w:hAnsi="Times"/>
          <w:i/>
        </w:rPr>
      </w:pPr>
      <w:r>
        <w:rPr>
          <w:rFonts w:ascii="Times" w:hAnsi="Times"/>
          <w:b/>
        </w:rPr>
        <w:t>Type of Administration</w:t>
      </w:r>
      <w:r w:rsidR="00127BC9">
        <w:rPr>
          <w:rFonts w:ascii="Times" w:hAnsi="Times"/>
          <w:b/>
        </w:rPr>
        <w:t>:</w:t>
      </w:r>
      <w:r>
        <w:rPr>
          <w:rFonts w:ascii="Times" w:hAnsi="Times"/>
          <w:b/>
        </w:rPr>
        <w:t xml:space="preserve"> </w:t>
      </w:r>
    </w:p>
    <w:p w14:paraId="569A3E9F" w14:textId="77777777" w:rsidR="00A24F59" w:rsidRPr="00F01730" w:rsidRDefault="00A24F59" w:rsidP="00A16C06">
      <w:pPr>
        <w:tabs>
          <w:tab w:val="left" w:pos="3523"/>
        </w:tabs>
        <w:jc w:val="both"/>
        <w:rPr>
          <w:rFonts w:ascii="Times" w:hAnsi="Times"/>
          <w:i/>
        </w:rPr>
      </w:pPr>
    </w:p>
    <w:p w14:paraId="061AD287" w14:textId="302FCFDD" w:rsidR="004D6470" w:rsidRPr="00710067" w:rsidRDefault="00710067" w:rsidP="00A16C06">
      <w:pPr>
        <w:tabs>
          <w:tab w:val="left" w:pos="3523"/>
        </w:tabs>
        <w:jc w:val="both"/>
        <w:rPr>
          <w:rFonts w:ascii="Times" w:hAnsi="Times"/>
        </w:rPr>
      </w:pPr>
      <w:r w:rsidRPr="00710067">
        <w:rPr>
          <w:rFonts w:ascii="Times" w:hAnsi="Times"/>
        </w:rPr>
        <w:t>Self-report</w:t>
      </w:r>
      <w:r>
        <w:rPr>
          <w:rFonts w:ascii="Times" w:hAnsi="Times"/>
        </w:rPr>
        <w:t xml:space="preserve"> with short forms (</w:t>
      </w:r>
      <w:r w:rsidR="00190A84">
        <w:rPr>
          <w:rFonts w:ascii="Times" w:hAnsi="Times"/>
        </w:rPr>
        <w:t>7</w:t>
      </w:r>
      <w:r>
        <w:rPr>
          <w:rFonts w:ascii="Times" w:hAnsi="Times"/>
        </w:rPr>
        <w:t xml:space="preserve"> items each), long form (68 items) or computer-adaptive testing (number of items vary); validated for telephone administration.</w:t>
      </w:r>
      <w:r w:rsidR="00274EDB">
        <w:rPr>
          <w:rFonts w:ascii="Times" w:hAnsi="Times"/>
        </w:rPr>
        <w:t xml:space="preserve"> The </w:t>
      </w:r>
      <w:r w:rsidR="00190A84">
        <w:rPr>
          <w:rFonts w:ascii="Times" w:hAnsi="Times"/>
        </w:rPr>
        <w:t>Canadian-</w:t>
      </w:r>
      <w:r w:rsidR="00274EDB">
        <w:rPr>
          <w:rFonts w:ascii="Times" w:hAnsi="Times"/>
        </w:rPr>
        <w:t xml:space="preserve">French version was validated for telephone administration </w:t>
      </w:r>
      <w:r w:rsidR="001E7610">
        <w:rPr>
          <w:rFonts w:ascii="Times" w:hAnsi="Times"/>
        </w:rPr>
        <w:t>using</w:t>
      </w:r>
      <w:r w:rsidR="00274EDB">
        <w:rPr>
          <w:rFonts w:ascii="Times" w:hAnsi="Times"/>
        </w:rPr>
        <w:t xml:space="preserve"> a parallel </w:t>
      </w:r>
      <w:r w:rsidR="00190A84">
        <w:rPr>
          <w:rFonts w:ascii="Times" w:hAnsi="Times"/>
        </w:rPr>
        <w:t>back translation</w:t>
      </w:r>
      <w:r w:rsidR="00274EDB">
        <w:rPr>
          <w:rFonts w:ascii="Times" w:hAnsi="Times"/>
        </w:rPr>
        <w:t xml:space="preserve"> procedure.</w:t>
      </w:r>
    </w:p>
    <w:p w14:paraId="223BB8B2" w14:textId="77777777" w:rsidR="00127BC9" w:rsidRDefault="00127BC9" w:rsidP="00A16C06">
      <w:pPr>
        <w:tabs>
          <w:tab w:val="left" w:pos="3523"/>
        </w:tabs>
        <w:jc w:val="both"/>
        <w:rPr>
          <w:rFonts w:ascii="Times" w:hAnsi="Times"/>
          <w:b/>
        </w:rPr>
      </w:pPr>
    </w:p>
    <w:p w14:paraId="682937D7" w14:textId="76613ED6" w:rsidR="00F01730" w:rsidRDefault="00F01730" w:rsidP="00A16C06">
      <w:pPr>
        <w:tabs>
          <w:tab w:val="left" w:pos="3523"/>
        </w:tabs>
        <w:jc w:val="both"/>
        <w:rPr>
          <w:rFonts w:ascii="Times" w:hAnsi="Times"/>
          <w:i/>
        </w:rPr>
      </w:pPr>
      <w:r>
        <w:rPr>
          <w:rFonts w:ascii="Times" w:hAnsi="Times"/>
          <w:b/>
        </w:rPr>
        <w:t xml:space="preserve">Time to Administer: </w:t>
      </w:r>
    </w:p>
    <w:p w14:paraId="0BB49939" w14:textId="77777777" w:rsidR="00A24F59" w:rsidRPr="00F01730" w:rsidRDefault="00A24F59" w:rsidP="00A16C06">
      <w:pPr>
        <w:tabs>
          <w:tab w:val="left" w:pos="3523"/>
        </w:tabs>
        <w:jc w:val="both"/>
        <w:rPr>
          <w:rFonts w:ascii="Times" w:hAnsi="Times"/>
          <w:i/>
        </w:rPr>
      </w:pPr>
    </w:p>
    <w:p w14:paraId="1BAB8D09" w14:textId="76FAAADF" w:rsidR="003577BB" w:rsidRPr="005F18A3" w:rsidRDefault="00271409" w:rsidP="00A16C06">
      <w:pPr>
        <w:tabs>
          <w:tab w:val="left" w:pos="3523"/>
        </w:tabs>
        <w:jc w:val="both"/>
        <w:rPr>
          <w:rFonts w:ascii="Times" w:hAnsi="Times"/>
        </w:rPr>
      </w:pPr>
      <w:r w:rsidRPr="00271409">
        <w:rPr>
          <w:rFonts w:ascii="Times" w:hAnsi="Times"/>
        </w:rPr>
        <w:t>Administration</w:t>
      </w:r>
      <w:r>
        <w:rPr>
          <w:rFonts w:ascii="Times" w:hAnsi="Times"/>
        </w:rPr>
        <w:t xml:space="preserve"> by interview using the computer-adaptive versio</w:t>
      </w:r>
      <w:r w:rsidR="00CA688F">
        <w:rPr>
          <w:rFonts w:ascii="Times" w:hAnsi="Times"/>
        </w:rPr>
        <w:t>n with CanWheel participants t</w:t>
      </w:r>
      <w:r w:rsidR="0002427F">
        <w:rPr>
          <w:rFonts w:ascii="Times" w:hAnsi="Times"/>
        </w:rPr>
        <w:t>ook</w:t>
      </w:r>
      <w:r>
        <w:rPr>
          <w:rFonts w:ascii="Times" w:hAnsi="Times"/>
        </w:rPr>
        <w:t xml:space="preserve"> </w:t>
      </w:r>
      <w:r w:rsidR="00B40FBA">
        <w:rPr>
          <w:rFonts w:ascii="Times" w:hAnsi="Times"/>
        </w:rPr>
        <w:t xml:space="preserve">an average of </w:t>
      </w:r>
      <w:r w:rsidR="0002427F">
        <w:rPr>
          <w:rFonts w:ascii="Times" w:hAnsi="Times"/>
        </w:rPr>
        <w:t>10</w:t>
      </w:r>
      <w:r w:rsidR="00CA688F">
        <w:rPr>
          <w:rFonts w:ascii="Times" w:hAnsi="Times"/>
        </w:rPr>
        <w:t xml:space="preserve"> minutes</w:t>
      </w:r>
      <w:r>
        <w:rPr>
          <w:rFonts w:ascii="Times" w:hAnsi="Times"/>
        </w:rPr>
        <w:t xml:space="preserve"> </w:t>
      </w:r>
      <w:r w:rsidR="00CA688F">
        <w:rPr>
          <w:rFonts w:ascii="Times" w:hAnsi="Times"/>
        </w:rPr>
        <w:t>to administer</w:t>
      </w:r>
      <w:r>
        <w:rPr>
          <w:rFonts w:ascii="Times" w:hAnsi="Times"/>
        </w:rPr>
        <w:t xml:space="preserve"> the “with</w:t>
      </w:r>
      <w:r w:rsidR="00430452">
        <w:rPr>
          <w:rFonts w:ascii="Times" w:hAnsi="Times"/>
        </w:rPr>
        <w:t xml:space="preserve"> </w:t>
      </w:r>
      <w:r>
        <w:rPr>
          <w:rFonts w:ascii="Times" w:hAnsi="Times"/>
        </w:rPr>
        <w:t xml:space="preserve">device” </w:t>
      </w:r>
      <w:r w:rsidR="0002427F">
        <w:rPr>
          <w:rFonts w:ascii="Times" w:hAnsi="Times"/>
        </w:rPr>
        <w:t xml:space="preserve">items </w:t>
      </w:r>
      <w:r>
        <w:rPr>
          <w:rFonts w:ascii="Times" w:hAnsi="Times"/>
        </w:rPr>
        <w:t xml:space="preserve">and </w:t>
      </w:r>
      <w:r w:rsidR="0002427F">
        <w:rPr>
          <w:rFonts w:ascii="Times" w:hAnsi="Times"/>
        </w:rPr>
        <w:t xml:space="preserve">15 minutes for the </w:t>
      </w:r>
      <w:r>
        <w:rPr>
          <w:rFonts w:ascii="Times" w:hAnsi="Times"/>
        </w:rPr>
        <w:t>“without device” items.</w:t>
      </w:r>
    </w:p>
    <w:p w14:paraId="6A668D93" w14:textId="77777777" w:rsidR="00F01730" w:rsidRDefault="00F01730" w:rsidP="00A16C06">
      <w:pPr>
        <w:tabs>
          <w:tab w:val="left" w:pos="3523"/>
        </w:tabs>
        <w:jc w:val="both"/>
        <w:rPr>
          <w:rFonts w:ascii="Times" w:hAnsi="Times"/>
          <w:b/>
        </w:rPr>
      </w:pPr>
    </w:p>
    <w:p w14:paraId="7B52337D" w14:textId="2A66CE64" w:rsidR="00F01730" w:rsidRDefault="00F01730" w:rsidP="00A16C06">
      <w:pPr>
        <w:tabs>
          <w:tab w:val="left" w:pos="3523"/>
        </w:tabs>
        <w:jc w:val="both"/>
        <w:rPr>
          <w:rFonts w:ascii="Times" w:hAnsi="Times"/>
          <w:i/>
          <w:lang w:val="fr-CA"/>
        </w:rPr>
      </w:pPr>
      <w:r w:rsidRPr="00190A84">
        <w:rPr>
          <w:rFonts w:ascii="Times" w:hAnsi="Times"/>
          <w:b/>
          <w:lang w:val="fr-CA"/>
        </w:rPr>
        <w:t xml:space="preserve">Response Scale: </w:t>
      </w:r>
    </w:p>
    <w:p w14:paraId="45088C06" w14:textId="77777777" w:rsidR="00A24F59" w:rsidRPr="00190A84" w:rsidRDefault="00A24F59" w:rsidP="00A16C06">
      <w:pPr>
        <w:tabs>
          <w:tab w:val="left" w:pos="3523"/>
        </w:tabs>
        <w:jc w:val="both"/>
        <w:rPr>
          <w:rFonts w:ascii="Times" w:hAnsi="Times"/>
          <w:i/>
          <w:lang w:val="fr-CA"/>
        </w:rPr>
      </w:pPr>
    </w:p>
    <w:p w14:paraId="1B8E429D" w14:textId="39FF9AA2" w:rsidR="00F01730" w:rsidRDefault="005F18A3" w:rsidP="00A16C06">
      <w:pPr>
        <w:tabs>
          <w:tab w:val="left" w:pos="3523"/>
        </w:tabs>
        <w:jc w:val="both"/>
        <w:rPr>
          <w:rFonts w:ascii="Times" w:hAnsi="Times"/>
        </w:rPr>
      </w:pPr>
      <w:r>
        <w:rPr>
          <w:rFonts w:ascii="Times" w:hAnsi="Times"/>
        </w:rPr>
        <w:t xml:space="preserve">The “with device” items and “without device” items use a </w:t>
      </w:r>
      <w:r w:rsidR="00710067" w:rsidRPr="00710067">
        <w:rPr>
          <w:rFonts w:ascii="Times" w:hAnsi="Times"/>
        </w:rPr>
        <w:t>5-level response scale</w:t>
      </w:r>
      <w:r w:rsidR="00710067">
        <w:rPr>
          <w:rFonts w:ascii="Times" w:hAnsi="Times"/>
        </w:rPr>
        <w:t xml:space="preserve"> </w:t>
      </w:r>
    </w:p>
    <w:p w14:paraId="0F25C07C" w14:textId="38934C93" w:rsidR="001E7610" w:rsidRDefault="001E7610" w:rsidP="00A16C06">
      <w:pPr>
        <w:tabs>
          <w:tab w:val="left" w:pos="3523"/>
        </w:tabs>
        <w:jc w:val="both"/>
        <w:rPr>
          <w:rFonts w:ascii="Times" w:hAnsi="Times"/>
        </w:rPr>
      </w:pPr>
      <w:r>
        <w:rPr>
          <w:rFonts w:ascii="Times" w:hAnsi="Times"/>
        </w:rPr>
        <w:t>Are you able to _________(name of the activity or participation item)</w:t>
      </w:r>
      <w:r w:rsidR="00190A84">
        <w:rPr>
          <w:rFonts w:ascii="Times" w:hAnsi="Times"/>
        </w:rPr>
        <w:t>?</w:t>
      </w:r>
    </w:p>
    <w:p w14:paraId="452AEB10" w14:textId="77777777" w:rsidR="001E7610" w:rsidRPr="001E7610" w:rsidRDefault="001E7610" w:rsidP="00A16C06">
      <w:pPr>
        <w:tabs>
          <w:tab w:val="left" w:pos="3523"/>
        </w:tabs>
        <w:jc w:val="both"/>
        <w:rPr>
          <w:rFonts w:ascii="Times" w:hAnsi="Times"/>
        </w:rPr>
      </w:pPr>
      <w:r w:rsidRPr="001E7610">
        <w:rPr>
          <w:rFonts w:ascii="Times" w:hAnsi="Times"/>
        </w:rPr>
        <w:t>5=Without any difficulty</w:t>
      </w:r>
    </w:p>
    <w:p w14:paraId="1A889BA8" w14:textId="77777777" w:rsidR="001E7610" w:rsidRPr="001E7610" w:rsidRDefault="001E7610" w:rsidP="00A16C06">
      <w:pPr>
        <w:tabs>
          <w:tab w:val="left" w:pos="3523"/>
        </w:tabs>
        <w:jc w:val="both"/>
        <w:rPr>
          <w:rFonts w:ascii="Times" w:hAnsi="Times"/>
        </w:rPr>
      </w:pPr>
      <w:r w:rsidRPr="001E7610">
        <w:rPr>
          <w:rFonts w:ascii="Times" w:hAnsi="Times"/>
        </w:rPr>
        <w:t>4=With a little difficulty</w:t>
      </w:r>
    </w:p>
    <w:p w14:paraId="05C84384" w14:textId="77777777" w:rsidR="001E7610" w:rsidRPr="001E7610" w:rsidRDefault="001E7610" w:rsidP="00A16C06">
      <w:pPr>
        <w:tabs>
          <w:tab w:val="left" w:pos="3523"/>
        </w:tabs>
        <w:jc w:val="both"/>
        <w:rPr>
          <w:rFonts w:ascii="Times" w:hAnsi="Times"/>
        </w:rPr>
      </w:pPr>
      <w:r w:rsidRPr="001E7610">
        <w:rPr>
          <w:rFonts w:ascii="Times" w:hAnsi="Times"/>
        </w:rPr>
        <w:t>3=With some difficulty</w:t>
      </w:r>
    </w:p>
    <w:p w14:paraId="6ED2DD5E" w14:textId="77777777" w:rsidR="001E7610" w:rsidRPr="001E7610" w:rsidRDefault="001E7610" w:rsidP="00A16C06">
      <w:pPr>
        <w:tabs>
          <w:tab w:val="left" w:pos="3523"/>
        </w:tabs>
        <w:jc w:val="both"/>
        <w:rPr>
          <w:rFonts w:ascii="Times" w:hAnsi="Times"/>
        </w:rPr>
      </w:pPr>
      <w:r w:rsidRPr="001E7610">
        <w:rPr>
          <w:rFonts w:ascii="Times" w:hAnsi="Times"/>
        </w:rPr>
        <w:t>2=With much difficulty</w:t>
      </w:r>
    </w:p>
    <w:p w14:paraId="2A8344C1" w14:textId="77777777" w:rsidR="001E7610" w:rsidRPr="001E7610" w:rsidRDefault="001E7610" w:rsidP="00A16C06">
      <w:pPr>
        <w:tabs>
          <w:tab w:val="left" w:pos="3523"/>
        </w:tabs>
        <w:jc w:val="both"/>
        <w:rPr>
          <w:rFonts w:ascii="Times" w:hAnsi="Times"/>
        </w:rPr>
      </w:pPr>
      <w:r w:rsidRPr="001E7610">
        <w:rPr>
          <w:rFonts w:ascii="Times" w:hAnsi="Times"/>
        </w:rPr>
        <w:t>1=Unable to do</w:t>
      </w:r>
    </w:p>
    <w:p w14:paraId="6E61DFC7" w14:textId="77777777" w:rsidR="00A24F59" w:rsidRDefault="001E7610" w:rsidP="00A16C06">
      <w:pPr>
        <w:tabs>
          <w:tab w:val="left" w:pos="3523"/>
        </w:tabs>
        <w:jc w:val="both"/>
        <w:rPr>
          <w:rFonts w:ascii="Times" w:hAnsi="Times"/>
        </w:rPr>
      </w:pPr>
      <w:r w:rsidRPr="001E7610">
        <w:rPr>
          <w:rFonts w:ascii="Times" w:hAnsi="Times"/>
        </w:rPr>
        <w:t xml:space="preserve">N/A=Not Applicable </w:t>
      </w:r>
    </w:p>
    <w:p w14:paraId="35AC9A8F" w14:textId="3BD2D1E6" w:rsidR="00127BC9" w:rsidRPr="00A24F59" w:rsidRDefault="00127BC9" w:rsidP="00A16C06">
      <w:pPr>
        <w:tabs>
          <w:tab w:val="left" w:pos="3523"/>
        </w:tabs>
        <w:jc w:val="both"/>
        <w:rPr>
          <w:rFonts w:ascii="Times" w:hAnsi="Times"/>
        </w:rPr>
      </w:pPr>
      <w:r>
        <w:rPr>
          <w:rFonts w:ascii="Times" w:hAnsi="Times"/>
          <w:b/>
        </w:rPr>
        <w:lastRenderedPageBreak/>
        <w:t>Scoring:</w:t>
      </w:r>
      <w:r w:rsidR="00F01730">
        <w:rPr>
          <w:rFonts w:ascii="Times" w:hAnsi="Times"/>
          <w:b/>
        </w:rPr>
        <w:t xml:space="preserve"> </w:t>
      </w:r>
    </w:p>
    <w:p w14:paraId="6FD5068A" w14:textId="77777777" w:rsidR="00A24F59" w:rsidRPr="00F01730" w:rsidRDefault="00A24F59" w:rsidP="00A16C06">
      <w:pPr>
        <w:tabs>
          <w:tab w:val="left" w:pos="3523"/>
        </w:tabs>
        <w:jc w:val="both"/>
        <w:rPr>
          <w:rFonts w:ascii="Times" w:hAnsi="Times"/>
          <w:i/>
        </w:rPr>
      </w:pPr>
    </w:p>
    <w:p w14:paraId="39B22C14" w14:textId="60AEF3C2" w:rsidR="004D6470" w:rsidRPr="008C3C86" w:rsidRDefault="008C3C86" w:rsidP="00A16C06">
      <w:pPr>
        <w:tabs>
          <w:tab w:val="left" w:pos="3523"/>
        </w:tabs>
        <w:jc w:val="both"/>
        <w:rPr>
          <w:rFonts w:ascii="Times" w:hAnsi="Times"/>
        </w:rPr>
      </w:pPr>
      <w:r w:rsidRPr="008C3C86">
        <w:rPr>
          <w:rFonts w:ascii="Times" w:hAnsi="Times"/>
        </w:rPr>
        <w:t xml:space="preserve">The computer-adaptive testing version </w:t>
      </w:r>
      <w:r>
        <w:rPr>
          <w:rFonts w:ascii="Times" w:hAnsi="Times"/>
        </w:rPr>
        <w:t>generates</w:t>
      </w:r>
      <w:r w:rsidRPr="008C3C86">
        <w:rPr>
          <w:rFonts w:ascii="Times" w:hAnsi="Times"/>
        </w:rPr>
        <w:t xml:space="preserve"> a T</w:t>
      </w:r>
      <w:r w:rsidR="00190A84">
        <w:rPr>
          <w:rFonts w:ascii="Times" w:hAnsi="Times"/>
        </w:rPr>
        <w:t>-</w:t>
      </w:r>
      <w:r w:rsidRPr="008C3C86">
        <w:rPr>
          <w:rFonts w:ascii="Times" w:hAnsi="Times"/>
        </w:rPr>
        <w:t>score</w:t>
      </w:r>
      <w:r>
        <w:rPr>
          <w:rFonts w:ascii="Times" w:hAnsi="Times"/>
        </w:rPr>
        <w:t xml:space="preserve"> that ranges between 0 and 100, with a mean of 50.</w:t>
      </w:r>
    </w:p>
    <w:p w14:paraId="72CE5C7B" w14:textId="77777777" w:rsidR="00127BC9" w:rsidRDefault="00127BC9" w:rsidP="00A16C06">
      <w:pPr>
        <w:tabs>
          <w:tab w:val="left" w:pos="3523"/>
        </w:tabs>
        <w:jc w:val="both"/>
        <w:rPr>
          <w:rFonts w:ascii="Times" w:hAnsi="Times"/>
          <w:b/>
        </w:rPr>
      </w:pPr>
    </w:p>
    <w:p w14:paraId="71BED770" w14:textId="5A68C974" w:rsidR="00127BC9" w:rsidRDefault="00127BC9" w:rsidP="00A16C06">
      <w:pPr>
        <w:tabs>
          <w:tab w:val="left" w:pos="3523"/>
        </w:tabs>
        <w:jc w:val="both"/>
        <w:rPr>
          <w:rFonts w:ascii="Times" w:hAnsi="Times"/>
          <w:i/>
        </w:rPr>
      </w:pPr>
      <w:r>
        <w:rPr>
          <w:rFonts w:ascii="Times" w:hAnsi="Times"/>
          <w:b/>
        </w:rPr>
        <w:t xml:space="preserve">Interpretation: </w:t>
      </w:r>
    </w:p>
    <w:p w14:paraId="01054195" w14:textId="77777777" w:rsidR="00A24F59" w:rsidRDefault="00A24F59" w:rsidP="00A16C06">
      <w:pPr>
        <w:tabs>
          <w:tab w:val="left" w:pos="3523"/>
        </w:tabs>
        <w:jc w:val="both"/>
        <w:rPr>
          <w:rFonts w:ascii="Times" w:hAnsi="Times"/>
          <w:i/>
        </w:rPr>
      </w:pPr>
    </w:p>
    <w:p w14:paraId="360ACB9B" w14:textId="05ED6FC2" w:rsidR="00271409" w:rsidRDefault="00271409" w:rsidP="00A16C06">
      <w:pPr>
        <w:tabs>
          <w:tab w:val="left" w:pos="3523"/>
        </w:tabs>
        <w:jc w:val="both"/>
        <w:rPr>
          <w:rFonts w:ascii="Times" w:hAnsi="Times"/>
        </w:rPr>
      </w:pPr>
      <w:r w:rsidRPr="00271409">
        <w:rPr>
          <w:rFonts w:ascii="Times" w:hAnsi="Times"/>
        </w:rPr>
        <w:t xml:space="preserve">Interpretation based on the </w:t>
      </w:r>
      <w:r>
        <w:rPr>
          <w:rFonts w:ascii="Times" w:hAnsi="Times"/>
        </w:rPr>
        <w:t xml:space="preserve">comparison of </w:t>
      </w:r>
      <w:r w:rsidRPr="00271409">
        <w:rPr>
          <w:rFonts w:ascii="Times" w:hAnsi="Times"/>
        </w:rPr>
        <w:t>T</w:t>
      </w:r>
      <w:r w:rsidR="00190A84">
        <w:rPr>
          <w:rFonts w:ascii="Times" w:hAnsi="Times"/>
        </w:rPr>
        <w:t>-</w:t>
      </w:r>
      <w:r w:rsidRPr="00271409">
        <w:rPr>
          <w:rFonts w:ascii="Times" w:hAnsi="Times"/>
        </w:rPr>
        <w:t>score</w:t>
      </w:r>
      <w:r>
        <w:rPr>
          <w:rFonts w:ascii="Times" w:hAnsi="Times"/>
        </w:rPr>
        <w:t xml:space="preserve"> with the general population of mobility device users</w:t>
      </w:r>
      <w:r w:rsidR="004C6FF8">
        <w:rPr>
          <w:rFonts w:ascii="Times" w:hAnsi="Times"/>
        </w:rPr>
        <w:t>.</w:t>
      </w:r>
    </w:p>
    <w:p w14:paraId="2FE671F7" w14:textId="77777777" w:rsidR="00271409" w:rsidRPr="00271409" w:rsidRDefault="00271409" w:rsidP="00127BC9">
      <w:pPr>
        <w:tabs>
          <w:tab w:val="left" w:pos="3523"/>
        </w:tabs>
        <w:rPr>
          <w:rFonts w:ascii="Times" w:hAnsi="Times"/>
        </w:rPr>
      </w:pPr>
    </w:p>
    <w:p w14:paraId="5FA9554B" w14:textId="1364D72F" w:rsidR="00271409" w:rsidRPr="00EE755F" w:rsidRDefault="00271409" w:rsidP="00127BC9">
      <w:pPr>
        <w:tabs>
          <w:tab w:val="left" w:pos="3523"/>
        </w:tabs>
        <w:rPr>
          <w:rFonts w:ascii="Times" w:hAnsi="Times"/>
          <w:sz w:val="22"/>
          <w:szCs w:val="22"/>
        </w:rPr>
      </w:pPr>
      <w:r w:rsidRPr="00EE755F">
        <w:rPr>
          <w:rFonts w:ascii="Times" w:hAnsi="Times"/>
          <w:sz w:val="22"/>
          <w:szCs w:val="22"/>
        </w:rPr>
        <w:t>80-100: the level of activity</w:t>
      </w:r>
      <w:r w:rsidR="004C6FF8" w:rsidRPr="00EE755F">
        <w:rPr>
          <w:rFonts w:ascii="Times" w:hAnsi="Times"/>
          <w:sz w:val="22"/>
          <w:szCs w:val="22"/>
        </w:rPr>
        <w:t>\</w:t>
      </w:r>
      <w:r w:rsidRPr="00EE755F">
        <w:rPr>
          <w:rFonts w:ascii="Times" w:hAnsi="Times"/>
          <w:sz w:val="22"/>
          <w:szCs w:val="22"/>
        </w:rPr>
        <w:t>participation is more than three standard deviations above average</w:t>
      </w:r>
    </w:p>
    <w:p w14:paraId="7E3A1095" w14:textId="77BFACFE" w:rsidR="00271409" w:rsidRPr="00EE755F" w:rsidRDefault="00271409" w:rsidP="00271409">
      <w:pPr>
        <w:tabs>
          <w:tab w:val="left" w:pos="3523"/>
        </w:tabs>
        <w:rPr>
          <w:rFonts w:ascii="Times" w:hAnsi="Times"/>
          <w:sz w:val="22"/>
          <w:szCs w:val="22"/>
        </w:rPr>
      </w:pPr>
      <w:r w:rsidRPr="00EE755F">
        <w:rPr>
          <w:rFonts w:ascii="Times" w:hAnsi="Times"/>
          <w:sz w:val="22"/>
          <w:szCs w:val="22"/>
        </w:rPr>
        <w:t>70-79: the level of activity</w:t>
      </w:r>
      <w:r w:rsidR="004C6FF8" w:rsidRPr="00EE755F">
        <w:rPr>
          <w:rFonts w:ascii="Times" w:hAnsi="Times"/>
          <w:sz w:val="22"/>
          <w:szCs w:val="22"/>
        </w:rPr>
        <w:t>\</w:t>
      </w:r>
      <w:r w:rsidRPr="00EE755F">
        <w:rPr>
          <w:rFonts w:ascii="Times" w:hAnsi="Times"/>
          <w:sz w:val="22"/>
          <w:szCs w:val="22"/>
        </w:rPr>
        <w:t xml:space="preserve"> participation is more than two standard deviations above average</w:t>
      </w:r>
    </w:p>
    <w:p w14:paraId="7CE37920" w14:textId="317AC4C3" w:rsidR="008C3C86" w:rsidRPr="00EE755F" w:rsidRDefault="00271409" w:rsidP="00127BC9">
      <w:pPr>
        <w:tabs>
          <w:tab w:val="left" w:pos="3523"/>
        </w:tabs>
        <w:rPr>
          <w:rFonts w:ascii="Times" w:hAnsi="Times"/>
          <w:sz w:val="22"/>
          <w:szCs w:val="22"/>
        </w:rPr>
      </w:pPr>
      <w:r w:rsidRPr="00EE755F">
        <w:rPr>
          <w:rFonts w:ascii="Times" w:hAnsi="Times"/>
          <w:sz w:val="22"/>
          <w:szCs w:val="22"/>
        </w:rPr>
        <w:t>60-6</w:t>
      </w:r>
      <w:r w:rsidR="008C3C86" w:rsidRPr="00EE755F">
        <w:rPr>
          <w:rFonts w:ascii="Times" w:hAnsi="Times"/>
          <w:sz w:val="22"/>
          <w:szCs w:val="22"/>
        </w:rPr>
        <w:t xml:space="preserve">9: the level of </w:t>
      </w:r>
      <w:r w:rsidR="004E709A" w:rsidRPr="00EE755F">
        <w:rPr>
          <w:rFonts w:ascii="Times" w:hAnsi="Times"/>
          <w:sz w:val="22"/>
          <w:szCs w:val="22"/>
        </w:rPr>
        <w:t xml:space="preserve">activity\ participation </w:t>
      </w:r>
      <w:r w:rsidR="008C3C86" w:rsidRPr="00EE755F">
        <w:rPr>
          <w:rFonts w:ascii="Times" w:hAnsi="Times"/>
          <w:sz w:val="22"/>
          <w:szCs w:val="22"/>
        </w:rPr>
        <w:t xml:space="preserve">is </w:t>
      </w:r>
      <w:r w:rsidRPr="00EE755F">
        <w:rPr>
          <w:rFonts w:ascii="Times" w:hAnsi="Times"/>
          <w:sz w:val="22"/>
          <w:szCs w:val="22"/>
        </w:rPr>
        <w:t xml:space="preserve">more than </w:t>
      </w:r>
      <w:r w:rsidR="008C3C86" w:rsidRPr="00EE755F">
        <w:rPr>
          <w:rFonts w:ascii="Times" w:hAnsi="Times"/>
          <w:sz w:val="22"/>
          <w:szCs w:val="22"/>
        </w:rPr>
        <w:t>one standard deviation above average</w:t>
      </w:r>
    </w:p>
    <w:p w14:paraId="415BE517" w14:textId="6D5C139A" w:rsidR="004D6470" w:rsidRPr="00EE755F" w:rsidRDefault="00271409" w:rsidP="00127BC9">
      <w:pPr>
        <w:tabs>
          <w:tab w:val="left" w:pos="3523"/>
        </w:tabs>
        <w:rPr>
          <w:rFonts w:ascii="Times" w:hAnsi="Times"/>
          <w:sz w:val="22"/>
          <w:szCs w:val="22"/>
        </w:rPr>
      </w:pPr>
      <w:r w:rsidRPr="00EE755F">
        <w:rPr>
          <w:rFonts w:ascii="Times" w:hAnsi="Times"/>
          <w:sz w:val="22"/>
          <w:szCs w:val="22"/>
        </w:rPr>
        <w:t>50-59</w:t>
      </w:r>
      <w:r w:rsidR="008C3C86" w:rsidRPr="00EE755F">
        <w:rPr>
          <w:rFonts w:ascii="Times" w:hAnsi="Times"/>
          <w:sz w:val="22"/>
          <w:szCs w:val="22"/>
        </w:rPr>
        <w:t xml:space="preserve">: the level of </w:t>
      </w:r>
      <w:r w:rsidR="004E709A" w:rsidRPr="00EE755F">
        <w:rPr>
          <w:rFonts w:ascii="Times" w:hAnsi="Times"/>
          <w:sz w:val="22"/>
          <w:szCs w:val="22"/>
        </w:rPr>
        <w:t xml:space="preserve">activity\ participation </w:t>
      </w:r>
      <w:r w:rsidR="008C3C86" w:rsidRPr="00EE755F">
        <w:rPr>
          <w:rFonts w:ascii="Times" w:hAnsi="Times"/>
          <w:sz w:val="22"/>
          <w:szCs w:val="22"/>
        </w:rPr>
        <w:t>is above average</w:t>
      </w:r>
    </w:p>
    <w:p w14:paraId="0183CED2" w14:textId="51AC49B3" w:rsidR="008C3C86" w:rsidRPr="00EE755F" w:rsidRDefault="00271409" w:rsidP="008C3C86">
      <w:pPr>
        <w:tabs>
          <w:tab w:val="left" w:pos="3523"/>
        </w:tabs>
        <w:rPr>
          <w:rFonts w:ascii="Times" w:hAnsi="Times"/>
          <w:sz w:val="22"/>
          <w:szCs w:val="22"/>
        </w:rPr>
      </w:pPr>
      <w:r w:rsidRPr="00EE755F">
        <w:rPr>
          <w:rFonts w:ascii="Times" w:hAnsi="Times"/>
          <w:sz w:val="22"/>
          <w:szCs w:val="22"/>
        </w:rPr>
        <w:t>40-49</w:t>
      </w:r>
      <w:r w:rsidR="008C3C86" w:rsidRPr="00EE755F">
        <w:rPr>
          <w:rFonts w:ascii="Times" w:hAnsi="Times"/>
          <w:sz w:val="22"/>
          <w:szCs w:val="22"/>
        </w:rPr>
        <w:t xml:space="preserve">: the level of </w:t>
      </w:r>
      <w:r w:rsidR="004E709A" w:rsidRPr="00EE755F">
        <w:rPr>
          <w:rFonts w:ascii="Times" w:hAnsi="Times"/>
          <w:sz w:val="22"/>
          <w:szCs w:val="22"/>
        </w:rPr>
        <w:t>activity\ participation</w:t>
      </w:r>
      <w:r w:rsidR="008C3C86" w:rsidRPr="00EE755F">
        <w:rPr>
          <w:rFonts w:ascii="Times" w:hAnsi="Times"/>
          <w:sz w:val="22"/>
          <w:szCs w:val="22"/>
        </w:rPr>
        <w:t xml:space="preserve"> is below average</w:t>
      </w:r>
    </w:p>
    <w:p w14:paraId="744AE88A" w14:textId="24781B26" w:rsidR="00271409" w:rsidRPr="00EE755F" w:rsidRDefault="00271409" w:rsidP="00271409">
      <w:pPr>
        <w:tabs>
          <w:tab w:val="left" w:pos="3523"/>
        </w:tabs>
        <w:rPr>
          <w:rFonts w:ascii="Times" w:hAnsi="Times"/>
          <w:sz w:val="22"/>
          <w:szCs w:val="22"/>
        </w:rPr>
      </w:pPr>
      <w:r w:rsidRPr="00EE755F">
        <w:rPr>
          <w:rFonts w:ascii="Times" w:hAnsi="Times"/>
          <w:sz w:val="22"/>
          <w:szCs w:val="22"/>
        </w:rPr>
        <w:t xml:space="preserve">30-39: the level of </w:t>
      </w:r>
      <w:r w:rsidR="004E709A" w:rsidRPr="00EE755F">
        <w:rPr>
          <w:rFonts w:ascii="Times" w:hAnsi="Times"/>
          <w:sz w:val="22"/>
          <w:szCs w:val="22"/>
        </w:rPr>
        <w:t>activity\ participation</w:t>
      </w:r>
      <w:r w:rsidRPr="00EE755F">
        <w:rPr>
          <w:rFonts w:ascii="Times" w:hAnsi="Times"/>
          <w:sz w:val="22"/>
          <w:szCs w:val="22"/>
        </w:rPr>
        <w:t xml:space="preserve"> is more than one standard deviation below average</w:t>
      </w:r>
    </w:p>
    <w:p w14:paraId="78C7E8FF" w14:textId="230E3125" w:rsidR="00271409" w:rsidRPr="00EE755F" w:rsidRDefault="00271409" w:rsidP="00271409">
      <w:pPr>
        <w:tabs>
          <w:tab w:val="left" w:pos="3523"/>
        </w:tabs>
        <w:rPr>
          <w:rFonts w:ascii="Times" w:hAnsi="Times"/>
          <w:sz w:val="22"/>
          <w:szCs w:val="22"/>
        </w:rPr>
      </w:pPr>
      <w:r w:rsidRPr="00EE755F">
        <w:rPr>
          <w:rFonts w:ascii="Times" w:hAnsi="Times"/>
          <w:sz w:val="22"/>
          <w:szCs w:val="22"/>
        </w:rPr>
        <w:t xml:space="preserve">20-29: the level of </w:t>
      </w:r>
      <w:r w:rsidR="004E709A" w:rsidRPr="00EE755F">
        <w:rPr>
          <w:rFonts w:ascii="Times" w:hAnsi="Times"/>
          <w:sz w:val="22"/>
          <w:szCs w:val="22"/>
        </w:rPr>
        <w:t>activity\ participation</w:t>
      </w:r>
      <w:r w:rsidRPr="00EE755F">
        <w:rPr>
          <w:rFonts w:ascii="Times" w:hAnsi="Times"/>
          <w:sz w:val="22"/>
          <w:szCs w:val="22"/>
        </w:rPr>
        <w:t xml:space="preserve"> is more than two standard deviations below average</w:t>
      </w:r>
    </w:p>
    <w:p w14:paraId="28426A03" w14:textId="0E8BB37F" w:rsidR="00271409" w:rsidRPr="00EE755F" w:rsidRDefault="00EE755F" w:rsidP="00271409">
      <w:pPr>
        <w:tabs>
          <w:tab w:val="left" w:pos="3523"/>
        </w:tabs>
        <w:rPr>
          <w:rFonts w:ascii="Times" w:hAnsi="Times"/>
          <w:sz w:val="22"/>
          <w:szCs w:val="22"/>
        </w:rPr>
      </w:pPr>
      <w:r>
        <w:rPr>
          <w:rFonts w:ascii="Times" w:hAnsi="Times"/>
          <w:sz w:val="22"/>
          <w:szCs w:val="22"/>
        </w:rPr>
        <w:t xml:space="preserve">  </w:t>
      </w:r>
      <w:r w:rsidR="00271409" w:rsidRPr="00EE755F">
        <w:rPr>
          <w:rFonts w:ascii="Times" w:hAnsi="Times"/>
          <w:sz w:val="22"/>
          <w:szCs w:val="22"/>
        </w:rPr>
        <w:t xml:space="preserve">0-19: the level of </w:t>
      </w:r>
      <w:r w:rsidR="004E709A" w:rsidRPr="00EE755F">
        <w:rPr>
          <w:rFonts w:ascii="Times" w:hAnsi="Times"/>
          <w:sz w:val="22"/>
          <w:szCs w:val="22"/>
        </w:rPr>
        <w:t>activity\ participation</w:t>
      </w:r>
      <w:r w:rsidR="00271409" w:rsidRPr="00EE755F">
        <w:rPr>
          <w:rFonts w:ascii="Times" w:hAnsi="Times"/>
          <w:sz w:val="22"/>
          <w:szCs w:val="22"/>
        </w:rPr>
        <w:t xml:space="preserve"> is more than three standard deviations below average</w:t>
      </w:r>
    </w:p>
    <w:p w14:paraId="5DBF4D02" w14:textId="77777777" w:rsidR="004D6470" w:rsidRDefault="004D6470" w:rsidP="00127BC9">
      <w:pPr>
        <w:tabs>
          <w:tab w:val="left" w:pos="3523"/>
        </w:tabs>
        <w:rPr>
          <w:rFonts w:ascii="Times" w:hAnsi="Times"/>
          <w:b/>
        </w:rPr>
      </w:pPr>
    </w:p>
    <w:p w14:paraId="0EFA3C57" w14:textId="41B1ADD2" w:rsidR="004D6470" w:rsidRDefault="004D6470" w:rsidP="00127BC9">
      <w:pPr>
        <w:tabs>
          <w:tab w:val="left" w:pos="3523"/>
        </w:tabs>
        <w:rPr>
          <w:rFonts w:ascii="Times" w:hAnsi="Times"/>
          <w:i/>
        </w:rPr>
      </w:pPr>
      <w:r>
        <w:rPr>
          <w:rFonts w:ascii="Times" w:hAnsi="Times"/>
          <w:b/>
        </w:rPr>
        <w:t xml:space="preserve">Relevant References: </w:t>
      </w:r>
    </w:p>
    <w:p w14:paraId="58663013" w14:textId="77777777" w:rsidR="00A24F59" w:rsidRDefault="00A24F59" w:rsidP="00127BC9">
      <w:pPr>
        <w:tabs>
          <w:tab w:val="left" w:pos="3523"/>
        </w:tabs>
        <w:rPr>
          <w:rFonts w:ascii="Times" w:hAnsi="Times"/>
          <w:i/>
        </w:rPr>
      </w:pPr>
    </w:p>
    <w:p w14:paraId="674CA6B3" w14:textId="6CC6EFAC" w:rsidR="007D0667" w:rsidRPr="007D0667" w:rsidRDefault="007D0667" w:rsidP="007D0667">
      <w:pPr>
        <w:pStyle w:val="ListParagraph"/>
        <w:numPr>
          <w:ilvl w:val="0"/>
          <w:numId w:val="1"/>
        </w:numPr>
        <w:rPr>
          <w:rFonts w:ascii="Times" w:hAnsi="Times"/>
        </w:rPr>
      </w:pPr>
      <w:proofErr w:type="spellStart"/>
      <w:r w:rsidRPr="007D0667">
        <w:rPr>
          <w:rFonts w:ascii="Times" w:hAnsi="Times"/>
        </w:rPr>
        <w:t>Jutai</w:t>
      </w:r>
      <w:proofErr w:type="spellEnd"/>
      <w:r w:rsidRPr="007D0667">
        <w:rPr>
          <w:rFonts w:ascii="Times" w:hAnsi="Times"/>
        </w:rPr>
        <w:t xml:space="preserve"> JW, </w:t>
      </w:r>
      <w:proofErr w:type="spellStart"/>
      <w:r w:rsidRPr="007D0667">
        <w:rPr>
          <w:rFonts w:ascii="Times" w:hAnsi="Times"/>
        </w:rPr>
        <w:t>Southall</w:t>
      </w:r>
      <w:proofErr w:type="spellEnd"/>
      <w:r w:rsidRPr="007D0667">
        <w:rPr>
          <w:rFonts w:ascii="Times" w:hAnsi="Times"/>
        </w:rPr>
        <w:t xml:space="preserve"> K (2013).  Measuring the Effectiveness of Assistive Technology on Active Aging: Capturing the Perspectives of Users, in Technologies for Active Aging (New York: Springer), pp. 95-104.</w:t>
      </w:r>
    </w:p>
    <w:p w14:paraId="2C011726" w14:textId="77777777" w:rsidR="007D0667" w:rsidRDefault="00D21EBE" w:rsidP="007D0667">
      <w:pPr>
        <w:pStyle w:val="ListParagraph"/>
        <w:numPr>
          <w:ilvl w:val="0"/>
          <w:numId w:val="1"/>
        </w:numPr>
        <w:rPr>
          <w:rFonts w:ascii="Times" w:hAnsi="Times"/>
        </w:rPr>
      </w:pPr>
      <w:r w:rsidRPr="007D0667">
        <w:rPr>
          <w:rFonts w:ascii="Times" w:hAnsi="Times"/>
        </w:rPr>
        <w:t>Auger, C., Jutai, J.W., Miller, W.C. Measurement properties of the ATOP/M for middle-aged and older adults who use power wheelchairs. Canadian Association on Gerontology, Vancouver, BC, October 20, 2012.</w:t>
      </w:r>
    </w:p>
    <w:p w14:paraId="2AFED41D" w14:textId="77777777" w:rsidR="007D0667" w:rsidRDefault="002C24EB" w:rsidP="007D0667">
      <w:pPr>
        <w:pStyle w:val="ListParagraph"/>
        <w:numPr>
          <w:ilvl w:val="0"/>
          <w:numId w:val="1"/>
        </w:numPr>
        <w:rPr>
          <w:rFonts w:ascii="Times" w:hAnsi="Times"/>
        </w:rPr>
      </w:pPr>
      <w:proofErr w:type="spellStart"/>
      <w:r w:rsidRPr="007D0667">
        <w:rPr>
          <w:rFonts w:ascii="Times" w:hAnsi="Times"/>
        </w:rPr>
        <w:t>Jutai</w:t>
      </w:r>
      <w:proofErr w:type="spellEnd"/>
      <w:r w:rsidRPr="007D0667">
        <w:rPr>
          <w:rFonts w:ascii="Times" w:hAnsi="Times"/>
        </w:rPr>
        <w:t xml:space="preserve"> JW, </w:t>
      </w:r>
      <w:r w:rsidR="005A64A5" w:rsidRPr="007D0667">
        <w:rPr>
          <w:rFonts w:ascii="Times" w:hAnsi="Times"/>
        </w:rPr>
        <w:t>End-user participation in developing the Assistive Technology Outcome</w:t>
      </w:r>
      <w:r w:rsidRPr="007D0667">
        <w:rPr>
          <w:rFonts w:ascii="Times" w:hAnsi="Times"/>
        </w:rPr>
        <w:t>s Profile for Mobility (ATOP/M)</w:t>
      </w:r>
      <w:r w:rsidR="005A64A5" w:rsidRPr="007D0667">
        <w:rPr>
          <w:rFonts w:ascii="Times" w:hAnsi="Times"/>
        </w:rPr>
        <w:t xml:space="preserve">, </w:t>
      </w:r>
      <w:r w:rsidRPr="007D0667">
        <w:rPr>
          <w:rFonts w:ascii="Times" w:hAnsi="Times"/>
        </w:rPr>
        <w:t xml:space="preserve">In: </w:t>
      </w:r>
      <w:r w:rsidR="005A64A5" w:rsidRPr="007D0667">
        <w:rPr>
          <w:rFonts w:ascii="Times" w:hAnsi="Times"/>
        </w:rPr>
        <w:t>Everyday technology for independence and care</w:t>
      </w:r>
      <w:r w:rsidRPr="007D0667">
        <w:rPr>
          <w:rFonts w:ascii="Times" w:hAnsi="Times"/>
        </w:rPr>
        <w:t xml:space="preserve">, </w:t>
      </w:r>
      <w:r w:rsidR="005A64A5" w:rsidRPr="007D0667">
        <w:rPr>
          <w:rFonts w:ascii="Times" w:hAnsi="Times"/>
        </w:rPr>
        <w:t>GJ Gelderblom et al., Amsterdam, IOS Press, 2011, 1026-1032.</w:t>
      </w:r>
      <w:r w:rsidR="007D0667">
        <w:rPr>
          <w:rFonts w:ascii="Times" w:hAnsi="Times"/>
        </w:rPr>
        <w:t xml:space="preserve"> </w:t>
      </w:r>
    </w:p>
    <w:p w14:paraId="307C4CEA" w14:textId="0D1C2645" w:rsidR="00D21EBE" w:rsidRPr="007D0667" w:rsidRDefault="005A64A5" w:rsidP="007D0667">
      <w:pPr>
        <w:pStyle w:val="ListParagraph"/>
        <w:numPr>
          <w:ilvl w:val="0"/>
          <w:numId w:val="1"/>
        </w:numPr>
        <w:rPr>
          <w:rFonts w:ascii="Times" w:hAnsi="Times"/>
        </w:rPr>
      </w:pPr>
      <w:r w:rsidRPr="007D0667">
        <w:rPr>
          <w:rFonts w:ascii="Times" w:hAnsi="Times"/>
        </w:rPr>
        <w:t xml:space="preserve">Bode RK, </w:t>
      </w:r>
      <w:proofErr w:type="spellStart"/>
      <w:r w:rsidRPr="007D0667">
        <w:rPr>
          <w:rFonts w:ascii="Times" w:hAnsi="Times"/>
        </w:rPr>
        <w:t>Jutai</w:t>
      </w:r>
      <w:proofErr w:type="spellEnd"/>
      <w:r w:rsidRPr="007D0667">
        <w:rPr>
          <w:rFonts w:ascii="Times" w:hAnsi="Times"/>
        </w:rPr>
        <w:t xml:space="preserve"> JW, Heinemann AW, Fuhrer MJ., The Assistive Technology Outcomes Profile for Mobility (ATOP/M): Development of activity limitations and participation restriction item banks</w:t>
      </w:r>
      <w:r w:rsidR="00190A84" w:rsidRPr="007D0667">
        <w:rPr>
          <w:rFonts w:ascii="Times" w:hAnsi="Times"/>
        </w:rPr>
        <w:t>.</w:t>
      </w:r>
      <w:r w:rsidRPr="007D0667">
        <w:rPr>
          <w:rFonts w:ascii="Times" w:hAnsi="Times"/>
        </w:rPr>
        <w:t xml:space="preserve"> Archives of Physical Medicine and Rehabilitation, </w:t>
      </w:r>
      <w:r w:rsidR="002C24EB" w:rsidRPr="007D0667">
        <w:rPr>
          <w:rFonts w:ascii="Times" w:hAnsi="Times"/>
        </w:rPr>
        <w:t>2010, 91(10), e36</w:t>
      </w:r>
      <w:r w:rsidRPr="007D0667">
        <w:rPr>
          <w:rFonts w:ascii="Times" w:hAnsi="Times"/>
        </w:rPr>
        <w:t>.</w:t>
      </w:r>
      <w:bookmarkStart w:id="0" w:name="_GoBack"/>
      <w:bookmarkEnd w:id="0"/>
    </w:p>
    <w:p w14:paraId="60344C7B" w14:textId="50DF73F5" w:rsidR="00D21EBE" w:rsidRDefault="00D21EBE" w:rsidP="00D21EBE">
      <w:pPr>
        <w:tabs>
          <w:tab w:val="left" w:pos="426"/>
        </w:tabs>
        <w:ind w:left="426" w:hanging="426"/>
        <w:rPr>
          <w:rFonts w:ascii="Times" w:hAnsi="Times"/>
        </w:rPr>
      </w:pPr>
    </w:p>
    <w:p w14:paraId="22E7083D" w14:textId="1433CF39" w:rsidR="00F66E8F" w:rsidRDefault="00F66E8F" w:rsidP="00D21EBE">
      <w:pPr>
        <w:tabs>
          <w:tab w:val="left" w:pos="426"/>
        </w:tabs>
        <w:ind w:left="426" w:hanging="426"/>
        <w:rPr>
          <w:rFonts w:ascii="Times" w:hAnsi="Times"/>
        </w:rPr>
      </w:pPr>
      <w:r>
        <w:rPr>
          <w:rFonts w:ascii="Times" w:hAnsi="Times"/>
        </w:rPr>
        <w:t>For more information:</w:t>
      </w:r>
    </w:p>
    <w:p w14:paraId="5FC39171" w14:textId="77777777" w:rsidR="00F66E8F" w:rsidRPr="00B33AED" w:rsidRDefault="00F66E8F" w:rsidP="00B33AED">
      <w:pPr>
        <w:autoSpaceDE w:val="0"/>
        <w:autoSpaceDN w:val="0"/>
        <w:ind w:left="426"/>
        <w:rPr>
          <w:rFonts w:ascii="Times New Roman" w:hAnsi="Times New Roman" w:cs="Times New Roman"/>
          <w:color w:val="000000"/>
          <w:sz w:val="20"/>
          <w:szCs w:val="20"/>
          <w:lang w:val="fr-CA" w:eastAsia="en-CA"/>
        </w:rPr>
      </w:pPr>
      <w:r w:rsidRPr="00B33AED">
        <w:rPr>
          <w:rFonts w:ascii="Times New Roman" w:hAnsi="Times New Roman" w:cs="Times New Roman" w:hint="eastAsia"/>
          <w:color w:val="000000"/>
          <w:sz w:val="20"/>
          <w:szCs w:val="20"/>
          <w:lang w:val="fr-CA" w:eastAsia="en-CA"/>
        </w:rPr>
        <w:t xml:space="preserve">Jeffrey W. Jutai, PhD, </w:t>
      </w:r>
      <w:proofErr w:type="spellStart"/>
      <w:r w:rsidRPr="00B33AED">
        <w:rPr>
          <w:rFonts w:ascii="Times New Roman" w:hAnsi="Times New Roman" w:cs="Times New Roman" w:hint="eastAsia"/>
          <w:color w:val="000000"/>
          <w:sz w:val="20"/>
          <w:szCs w:val="20"/>
          <w:lang w:val="fr-CA" w:eastAsia="en-CA"/>
        </w:rPr>
        <w:t>CPsych</w:t>
      </w:r>
      <w:proofErr w:type="spellEnd"/>
    </w:p>
    <w:p w14:paraId="33A93DBE" w14:textId="77777777" w:rsidR="00F66E8F" w:rsidRPr="00B33AED" w:rsidRDefault="00F66E8F" w:rsidP="00B33AED">
      <w:pPr>
        <w:autoSpaceDE w:val="0"/>
        <w:autoSpaceDN w:val="0"/>
        <w:ind w:left="426"/>
        <w:rPr>
          <w:rFonts w:ascii="Times New Roman" w:hAnsi="Times New Roman" w:cs="Times New Roman"/>
          <w:color w:val="000000"/>
          <w:sz w:val="20"/>
          <w:szCs w:val="20"/>
          <w:lang w:eastAsia="en-CA"/>
        </w:rPr>
      </w:pPr>
      <w:r w:rsidRPr="00B33AED">
        <w:rPr>
          <w:rFonts w:ascii="Times New Roman" w:hAnsi="Times New Roman" w:cs="Times New Roman" w:hint="eastAsia"/>
          <w:color w:val="000000"/>
          <w:sz w:val="20"/>
          <w:szCs w:val="20"/>
          <w:lang w:eastAsia="en-CA"/>
        </w:rPr>
        <w:t>Interdisciplinary School of Health Sciences</w:t>
      </w:r>
    </w:p>
    <w:p w14:paraId="7EB27916" w14:textId="77777777" w:rsidR="00F66E8F" w:rsidRPr="00B33AED" w:rsidRDefault="00F66E8F" w:rsidP="00B33AED">
      <w:pPr>
        <w:autoSpaceDE w:val="0"/>
        <w:autoSpaceDN w:val="0"/>
        <w:ind w:left="426"/>
        <w:rPr>
          <w:rFonts w:ascii="Times New Roman" w:hAnsi="Times New Roman" w:cs="Times New Roman"/>
          <w:color w:val="000000"/>
          <w:sz w:val="20"/>
          <w:szCs w:val="20"/>
          <w:lang w:eastAsia="en-CA"/>
        </w:rPr>
      </w:pPr>
      <w:r w:rsidRPr="00B33AED">
        <w:rPr>
          <w:rFonts w:ascii="Times New Roman" w:hAnsi="Times New Roman" w:cs="Times New Roman" w:hint="eastAsia"/>
          <w:color w:val="000000"/>
          <w:sz w:val="20"/>
          <w:szCs w:val="20"/>
          <w:lang w:eastAsia="en-CA"/>
        </w:rPr>
        <w:t>University of Ottawa</w:t>
      </w:r>
    </w:p>
    <w:p w14:paraId="15499145" w14:textId="77777777" w:rsidR="00F66E8F" w:rsidRPr="00B33AED" w:rsidRDefault="00F66E8F" w:rsidP="00B33AED">
      <w:pPr>
        <w:autoSpaceDE w:val="0"/>
        <w:autoSpaceDN w:val="0"/>
        <w:ind w:left="426"/>
        <w:rPr>
          <w:rFonts w:ascii="Times New Roman" w:hAnsi="Times New Roman" w:cs="Times New Roman"/>
          <w:color w:val="0000FF"/>
          <w:sz w:val="20"/>
          <w:szCs w:val="20"/>
          <w:lang w:val="fr-CA" w:eastAsia="en-CA"/>
        </w:rPr>
      </w:pPr>
      <w:proofErr w:type="gramStart"/>
      <w:r w:rsidRPr="00B33AED">
        <w:rPr>
          <w:rFonts w:ascii="Times New Roman" w:hAnsi="Times New Roman" w:cs="Times New Roman" w:hint="eastAsia"/>
          <w:color w:val="000000"/>
          <w:sz w:val="20"/>
          <w:szCs w:val="20"/>
          <w:lang w:val="fr-CA" w:eastAsia="en-CA"/>
        </w:rPr>
        <w:t>email</w:t>
      </w:r>
      <w:proofErr w:type="gramEnd"/>
      <w:r w:rsidRPr="00B33AED">
        <w:rPr>
          <w:rFonts w:ascii="Times New Roman" w:hAnsi="Times New Roman" w:cs="Times New Roman" w:hint="eastAsia"/>
          <w:color w:val="000000"/>
          <w:sz w:val="20"/>
          <w:szCs w:val="20"/>
          <w:lang w:val="fr-CA" w:eastAsia="en-CA"/>
        </w:rPr>
        <w:t xml:space="preserve">: </w:t>
      </w:r>
      <w:hyperlink r:id="rId6" w:history="1">
        <w:r w:rsidRPr="00B33AED">
          <w:rPr>
            <w:rStyle w:val="Hyperlink"/>
            <w:rFonts w:ascii="Times New Roman" w:hAnsi="Times New Roman" w:cs="Times New Roman" w:hint="eastAsia"/>
            <w:sz w:val="20"/>
            <w:szCs w:val="20"/>
            <w:lang w:val="fr-CA" w:eastAsia="en-CA"/>
          </w:rPr>
          <w:t>jjutai@uottawa.ca</w:t>
        </w:r>
      </w:hyperlink>
    </w:p>
    <w:p w14:paraId="22A186FD" w14:textId="77777777" w:rsidR="00F66E8F" w:rsidRPr="005A64A5" w:rsidRDefault="00F66E8F" w:rsidP="00D21EBE">
      <w:pPr>
        <w:tabs>
          <w:tab w:val="left" w:pos="426"/>
        </w:tabs>
        <w:ind w:left="426" w:hanging="426"/>
        <w:rPr>
          <w:rFonts w:ascii="Times" w:hAnsi="Times"/>
        </w:rPr>
      </w:pPr>
    </w:p>
    <w:sectPr w:rsidR="00F66E8F" w:rsidRPr="005A64A5" w:rsidSect="00A24F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550E9"/>
    <w:multiLevelType w:val="hybridMultilevel"/>
    <w:tmpl w:val="1B304A44"/>
    <w:lvl w:ilvl="0" w:tplc="E208110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C9"/>
    <w:rsid w:val="00017D39"/>
    <w:rsid w:val="0002427F"/>
    <w:rsid w:val="00127BC9"/>
    <w:rsid w:val="00190A84"/>
    <w:rsid w:val="001E7610"/>
    <w:rsid w:val="001F6439"/>
    <w:rsid w:val="00271409"/>
    <w:rsid w:val="00274EDB"/>
    <w:rsid w:val="002C24EB"/>
    <w:rsid w:val="00355923"/>
    <w:rsid w:val="003577BB"/>
    <w:rsid w:val="00400B79"/>
    <w:rsid w:val="00407F48"/>
    <w:rsid w:val="00430452"/>
    <w:rsid w:val="004C6FF8"/>
    <w:rsid w:val="004D6470"/>
    <w:rsid w:val="004E709A"/>
    <w:rsid w:val="005A64A5"/>
    <w:rsid w:val="005F18A3"/>
    <w:rsid w:val="00605262"/>
    <w:rsid w:val="00666B91"/>
    <w:rsid w:val="00710067"/>
    <w:rsid w:val="007D0667"/>
    <w:rsid w:val="007D2F08"/>
    <w:rsid w:val="008C3C86"/>
    <w:rsid w:val="00A16C06"/>
    <w:rsid w:val="00A24F59"/>
    <w:rsid w:val="00B33AED"/>
    <w:rsid w:val="00B40FBA"/>
    <w:rsid w:val="00CA688F"/>
    <w:rsid w:val="00D21EBE"/>
    <w:rsid w:val="00D95FB3"/>
    <w:rsid w:val="00E1281E"/>
    <w:rsid w:val="00EE755F"/>
    <w:rsid w:val="00F01730"/>
    <w:rsid w:val="00F617EA"/>
    <w:rsid w:val="00F6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E78C5"/>
  <w14:defaultImageDpi w14:val="300"/>
  <w15:docId w15:val="{E51BDEDE-04B2-42FA-9C9D-59028C7C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0A84"/>
    <w:rPr>
      <w:sz w:val="16"/>
      <w:szCs w:val="16"/>
    </w:rPr>
  </w:style>
  <w:style w:type="paragraph" w:styleId="CommentText">
    <w:name w:val="annotation text"/>
    <w:basedOn w:val="Normal"/>
    <w:link w:val="CommentTextChar"/>
    <w:uiPriority w:val="99"/>
    <w:semiHidden/>
    <w:unhideWhenUsed/>
    <w:rsid w:val="00190A84"/>
    <w:rPr>
      <w:sz w:val="20"/>
      <w:szCs w:val="20"/>
    </w:rPr>
  </w:style>
  <w:style w:type="character" w:customStyle="1" w:styleId="CommentTextChar">
    <w:name w:val="Comment Text Char"/>
    <w:basedOn w:val="DefaultParagraphFont"/>
    <w:link w:val="CommentText"/>
    <w:uiPriority w:val="99"/>
    <w:semiHidden/>
    <w:rsid w:val="00190A84"/>
    <w:rPr>
      <w:sz w:val="20"/>
      <w:szCs w:val="20"/>
    </w:rPr>
  </w:style>
  <w:style w:type="paragraph" w:styleId="CommentSubject">
    <w:name w:val="annotation subject"/>
    <w:basedOn w:val="CommentText"/>
    <w:next w:val="CommentText"/>
    <w:link w:val="CommentSubjectChar"/>
    <w:uiPriority w:val="99"/>
    <w:semiHidden/>
    <w:unhideWhenUsed/>
    <w:rsid w:val="00190A84"/>
    <w:rPr>
      <w:b/>
      <w:bCs/>
    </w:rPr>
  </w:style>
  <w:style w:type="character" w:customStyle="1" w:styleId="CommentSubjectChar">
    <w:name w:val="Comment Subject Char"/>
    <w:basedOn w:val="CommentTextChar"/>
    <w:link w:val="CommentSubject"/>
    <w:uiPriority w:val="99"/>
    <w:semiHidden/>
    <w:rsid w:val="00190A84"/>
    <w:rPr>
      <w:b/>
      <w:bCs/>
      <w:sz w:val="20"/>
      <w:szCs w:val="20"/>
    </w:rPr>
  </w:style>
  <w:style w:type="paragraph" w:styleId="BalloonText">
    <w:name w:val="Balloon Text"/>
    <w:basedOn w:val="Normal"/>
    <w:link w:val="BalloonTextChar"/>
    <w:uiPriority w:val="99"/>
    <w:semiHidden/>
    <w:unhideWhenUsed/>
    <w:rsid w:val="00190A84"/>
    <w:rPr>
      <w:rFonts w:ascii="Tahoma" w:hAnsi="Tahoma" w:cs="Tahoma"/>
      <w:sz w:val="16"/>
      <w:szCs w:val="16"/>
    </w:rPr>
  </w:style>
  <w:style w:type="character" w:customStyle="1" w:styleId="BalloonTextChar">
    <w:name w:val="Balloon Text Char"/>
    <w:basedOn w:val="DefaultParagraphFont"/>
    <w:link w:val="BalloonText"/>
    <w:uiPriority w:val="99"/>
    <w:semiHidden/>
    <w:rsid w:val="00190A84"/>
    <w:rPr>
      <w:rFonts w:ascii="Tahoma" w:hAnsi="Tahoma" w:cs="Tahoma"/>
      <w:sz w:val="16"/>
      <w:szCs w:val="16"/>
    </w:rPr>
  </w:style>
  <w:style w:type="character" w:styleId="Hyperlink">
    <w:name w:val="Hyperlink"/>
    <w:basedOn w:val="DefaultParagraphFont"/>
    <w:uiPriority w:val="99"/>
    <w:semiHidden/>
    <w:unhideWhenUsed/>
    <w:rsid w:val="00F66E8F"/>
    <w:rPr>
      <w:color w:val="0000FF"/>
      <w:u w:val="single"/>
    </w:rPr>
  </w:style>
  <w:style w:type="paragraph" w:styleId="ListParagraph">
    <w:name w:val="List Paragraph"/>
    <w:basedOn w:val="Normal"/>
    <w:uiPriority w:val="34"/>
    <w:qFormat/>
    <w:rsid w:val="007D0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6165">
      <w:bodyDiv w:val="1"/>
      <w:marLeft w:val="0"/>
      <w:marRight w:val="0"/>
      <w:marTop w:val="0"/>
      <w:marBottom w:val="0"/>
      <w:divBdr>
        <w:top w:val="none" w:sz="0" w:space="0" w:color="auto"/>
        <w:left w:val="none" w:sz="0" w:space="0" w:color="auto"/>
        <w:bottom w:val="none" w:sz="0" w:space="0" w:color="auto"/>
        <w:right w:val="none" w:sz="0" w:space="0" w:color="auto"/>
      </w:divBdr>
    </w:div>
    <w:div w:id="2060400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utai@uottawa.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 of Montreal</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Rushton</dc:creator>
  <cp:lastModifiedBy>Jennifer Zelmer</cp:lastModifiedBy>
  <cp:revision>5</cp:revision>
  <dcterms:created xsi:type="dcterms:W3CDTF">2013-05-16T17:28:00Z</dcterms:created>
  <dcterms:modified xsi:type="dcterms:W3CDTF">2014-12-04T17:40:00Z</dcterms:modified>
</cp:coreProperties>
</file>